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56" w:rsidRPr="00220BC6" w:rsidRDefault="00A25D7B">
      <w:pPr>
        <w:pStyle w:val="Tekstpodstawowy"/>
        <w:spacing w:before="75"/>
        <w:ind w:left="2274" w:right="2272"/>
        <w:jc w:val="center"/>
      </w:pPr>
      <w:r w:rsidRPr="00220BC6">
        <w:t>Regulamin</w:t>
      </w:r>
    </w:p>
    <w:p w:rsidR="00BD0656" w:rsidRPr="00220BC6" w:rsidRDefault="00A25D7B">
      <w:pPr>
        <w:pStyle w:val="Tekstpodstawowy"/>
        <w:spacing w:before="21"/>
        <w:ind w:left="2274" w:right="2272"/>
        <w:jc w:val="center"/>
      </w:pPr>
      <w:r w:rsidRPr="00220BC6">
        <w:t>Środki na rozwój naukowy doktorantów Szkoły Doktorskiej</w:t>
      </w:r>
    </w:p>
    <w:p w:rsidR="00BD0656" w:rsidRPr="00220BC6" w:rsidRDefault="00BD0656">
      <w:pPr>
        <w:pStyle w:val="Tekstpodstawowy"/>
        <w:spacing w:before="4"/>
        <w:rPr>
          <w:sz w:val="25"/>
        </w:rPr>
      </w:pPr>
    </w:p>
    <w:p w:rsidR="00BD0656" w:rsidRPr="00220BC6" w:rsidRDefault="00A25D7B">
      <w:pPr>
        <w:pStyle w:val="Tekstpodstawowy"/>
        <w:ind w:left="2274" w:right="2266"/>
        <w:jc w:val="center"/>
      </w:pPr>
      <w:r w:rsidRPr="00220BC6">
        <w:t>§ 1 Cele Programu</w:t>
      </w:r>
    </w:p>
    <w:p w:rsidR="00BD0656" w:rsidRPr="00220BC6" w:rsidRDefault="00BD0656">
      <w:pPr>
        <w:pStyle w:val="Tekstpodstawowy"/>
        <w:spacing w:before="4"/>
        <w:rPr>
          <w:sz w:val="25"/>
        </w:rPr>
      </w:pPr>
    </w:p>
    <w:p w:rsidR="00BD0656" w:rsidRPr="00220BC6" w:rsidRDefault="00A25D7B">
      <w:pPr>
        <w:pStyle w:val="Akapitzlist"/>
        <w:numPr>
          <w:ilvl w:val="0"/>
          <w:numId w:val="8"/>
        </w:numPr>
        <w:tabs>
          <w:tab w:val="left" w:pos="349"/>
        </w:tabs>
        <w:spacing w:before="0" w:line="247" w:lineRule="auto"/>
        <w:ind w:right="114"/>
      </w:pPr>
      <w:r w:rsidRPr="00220BC6">
        <w:t>Niniejszy regulamin określa zasady przyznawania środków na rozwój naukowy doktorantów Szkoły Doktorskiej (dalej:</w:t>
      </w:r>
      <w:r w:rsidRPr="00220BC6">
        <w:rPr>
          <w:spacing w:val="1"/>
        </w:rPr>
        <w:t xml:space="preserve"> </w:t>
      </w:r>
      <w:r w:rsidRPr="00220BC6">
        <w:t>Program).</w:t>
      </w:r>
    </w:p>
    <w:p w:rsidR="00BD0656" w:rsidRPr="00220BC6" w:rsidRDefault="00A25D7B">
      <w:pPr>
        <w:pStyle w:val="Akapitzlist"/>
        <w:numPr>
          <w:ilvl w:val="0"/>
          <w:numId w:val="8"/>
        </w:numPr>
        <w:tabs>
          <w:tab w:val="left" w:pos="349"/>
        </w:tabs>
        <w:spacing w:before="2" w:line="247" w:lineRule="auto"/>
        <w:ind w:right="114"/>
      </w:pPr>
      <w:r w:rsidRPr="00220BC6">
        <w:t>Celem Programu jest finansowanie zadań służących rozwojowi naukowemu doktorantów Szkoły Doktorskiej Akademii Sztuk Pięknych im. E. Gepperta we</w:t>
      </w:r>
      <w:r w:rsidRPr="00220BC6">
        <w:rPr>
          <w:spacing w:val="-2"/>
        </w:rPr>
        <w:t xml:space="preserve"> </w:t>
      </w:r>
      <w:r w:rsidRPr="00220BC6">
        <w:t>Wrocławiu.</w:t>
      </w:r>
    </w:p>
    <w:p w:rsidR="00BD0656" w:rsidRPr="00220BC6" w:rsidRDefault="00A25D7B">
      <w:pPr>
        <w:pStyle w:val="Akapitzlist"/>
        <w:numPr>
          <w:ilvl w:val="0"/>
          <w:numId w:val="8"/>
        </w:numPr>
        <w:tabs>
          <w:tab w:val="left" w:pos="349"/>
        </w:tabs>
        <w:spacing w:before="0" w:line="253" w:lineRule="exact"/>
        <w:ind w:hanging="217"/>
      </w:pPr>
      <w:r w:rsidRPr="00220BC6">
        <w:t>W ramach Programu można składać wnioski na dofinansowanie następujących</w:t>
      </w:r>
      <w:r w:rsidRPr="00220BC6">
        <w:rPr>
          <w:spacing w:val="-1"/>
        </w:rPr>
        <w:t xml:space="preserve"> </w:t>
      </w:r>
      <w:r w:rsidRPr="00220BC6">
        <w:t>działań:</w:t>
      </w:r>
    </w:p>
    <w:p w:rsidR="00BD0656" w:rsidRPr="00220BC6" w:rsidRDefault="00A25D7B">
      <w:pPr>
        <w:pStyle w:val="Akapitzlist"/>
        <w:numPr>
          <w:ilvl w:val="0"/>
          <w:numId w:val="7"/>
        </w:numPr>
        <w:tabs>
          <w:tab w:val="left" w:pos="373"/>
        </w:tabs>
        <w:ind w:hanging="241"/>
      </w:pPr>
      <w:r w:rsidRPr="00220BC6">
        <w:t>uczestnictwa w krajowych i międzynarodowych wystawach, konkursach, festiwalach,</w:t>
      </w:r>
      <w:r w:rsidRPr="00220BC6">
        <w:rPr>
          <w:spacing w:val="-11"/>
        </w:rPr>
        <w:t xml:space="preserve"> </w:t>
      </w:r>
      <w:r w:rsidRPr="00220BC6">
        <w:t>itp.</w:t>
      </w:r>
    </w:p>
    <w:p w:rsidR="00BD0656" w:rsidRPr="00220BC6" w:rsidRDefault="00A25D7B">
      <w:pPr>
        <w:pStyle w:val="Akapitzlist"/>
        <w:numPr>
          <w:ilvl w:val="0"/>
          <w:numId w:val="7"/>
        </w:numPr>
        <w:tabs>
          <w:tab w:val="left" w:pos="373"/>
        </w:tabs>
        <w:ind w:hanging="241"/>
      </w:pPr>
      <w:r w:rsidRPr="00220BC6">
        <w:t>uczestnictwa w krajowych i międzynarodowych seminariach, konferencjach, sympozjach, zjazdach</w:t>
      </w:r>
      <w:r w:rsidRPr="00220BC6">
        <w:rPr>
          <w:spacing w:val="-14"/>
        </w:rPr>
        <w:t xml:space="preserve"> </w:t>
      </w:r>
      <w:r w:rsidRPr="00220BC6">
        <w:t>itp.</w:t>
      </w:r>
    </w:p>
    <w:p w:rsidR="00BD0656" w:rsidRPr="00220BC6" w:rsidRDefault="00A25D7B" w:rsidP="00A25D7B">
      <w:pPr>
        <w:pStyle w:val="Akapitzlist"/>
        <w:numPr>
          <w:ilvl w:val="0"/>
          <w:numId w:val="7"/>
        </w:numPr>
        <w:tabs>
          <w:tab w:val="left" w:pos="373"/>
        </w:tabs>
        <w:spacing w:before="8" w:line="247" w:lineRule="auto"/>
        <w:ind w:right="114"/>
        <w:jc w:val="both"/>
      </w:pPr>
      <w:r w:rsidRPr="00220BC6">
        <w:t>udziału w rezydencjach artystycznych, kursach mistrzowskich, kursach doskonalących, warsztatach, szkoleniach</w:t>
      </w:r>
    </w:p>
    <w:p w:rsidR="00BD0656" w:rsidRPr="00220BC6" w:rsidRDefault="00BD0656">
      <w:pPr>
        <w:pStyle w:val="Tekstpodstawowy"/>
        <w:spacing w:before="2"/>
        <w:rPr>
          <w:sz w:val="24"/>
        </w:rPr>
      </w:pPr>
    </w:p>
    <w:p w:rsidR="00BD0656" w:rsidRPr="00220BC6" w:rsidRDefault="00A25D7B">
      <w:pPr>
        <w:pStyle w:val="Tekstpodstawowy"/>
        <w:ind w:left="2274" w:right="2265"/>
        <w:jc w:val="center"/>
      </w:pPr>
      <w:r w:rsidRPr="00220BC6">
        <w:t>§ 2 Koszty kwalifikowalne</w:t>
      </w:r>
    </w:p>
    <w:p w:rsidR="00BD0656" w:rsidRPr="00220BC6" w:rsidRDefault="00BD0656">
      <w:pPr>
        <w:pStyle w:val="Tekstpodstawowy"/>
        <w:spacing w:before="2"/>
        <w:rPr>
          <w:sz w:val="25"/>
        </w:rPr>
      </w:pPr>
    </w:p>
    <w:p w:rsidR="00BD0656" w:rsidRPr="00220BC6" w:rsidRDefault="00A25D7B">
      <w:pPr>
        <w:pStyle w:val="Akapitzlist"/>
        <w:numPr>
          <w:ilvl w:val="0"/>
          <w:numId w:val="6"/>
        </w:numPr>
        <w:tabs>
          <w:tab w:val="left" w:pos="388"/>
        </w:tabs>
        <w:spacing w:before="0" w:line="247" w:lineRule="auto"/>
        <w:ind w:right="110" w:hanging="10"/>
      </w:pPr>
      <w:r w:rsidRPr="00220BC6">
        <w:t>Program wspiera indywidualne uczestnictwo doktorantów Szkoły Doktorskiej ASP we Wrocławiu w działaniach opisanych w § 1, poprzez dofinansowanie, w</w:t>
      </w:r>
      <w:r w:rsidRPr="00220BC6">
        <w:rPr>
          <w:spacing w:val="-14"/>
        </w:rPr>
        <w:t xml:space="preserve"> </w:t>
      </w:r>
      <w:r w:rsidRPr="00220BC6">
        <w:t>szczególności:</w:t>
      </w:r>
    </w:p>
    <w:p w:rsidR="00BD0656" w:rsidRPr="00220BC6" w:rsidRDefault="00A25D7B">
      <w:pPr>
        <w:pStyle w:val="Akapitzlist"/>
        <w:numPr>
          <w:ilvl w:val="0"/>
          <w:numId w:val="5"/>
        </w:numPr>
        <w:tabs>
          <w:tab w:val="left" w:pos="347"/>
        </w:tabs>
        <w:spacing w:before="2"/>
      </w:pPr>
      <w:r w:rsidRPr="00220BC6">
        <w:t>opłat za uczestnictwo;</w:t>
      </w:r>
    </w:p>
    <w:p w:rsidR="00BD0656" w:rsidRPr="00220BC6" w:rsidRDefault="00A25D7B">
      <w:pPr>
        <w:pStyle w:val="Akapitzlist"/>
        <w:numPr>
          <w:ilvl w:val="0"/>
          <w:numId w:val="5"/>
        </w:numPr>
        <w:tabs>
          <w:tab w:val="left" w:pos="360"/>
        </w:tabs>
        <w:ind w:left="359" w:hanging="242"/>
      </w:pPr>
      <w:r w:rsidRPr="00220BC6">
        <w:t>kosztów diet, zakwaterowania i transportu (do wysokości wynikającej z obowiązujących</w:t>
      </w:r>
      <w:r w:rsidRPr="00220BC6">
        <w:rPr>
          <w:spacing w:val="-13"/>
        </w:rPr>
        <w:t xml:space="preserve"> </w:t>
      </w:r>
      <w:r w:rsidRPr="00220BC6">
        <w:t>przepisów);</w:t>
      </w:r>
    </w:p>
    <w:p w:rsidR="00BD0656" w:rsidRPr="00220BC6" w:rsidRDefault="00A25D7B">
      <w:pPr>
        <w:pStyle w:val="Akapitzlist"/>
        <w:numPr>
          <w:ilvl w:val="0"/>
          <w:numId w:val="5"/>
        </w:numPr>
        <w:tabs>
          <w:tab w:val="left" w:pos="347"/>
        </w:tabs>
      </w:pPr>
      <w:r w:rsidRPr="00220BC6">
        <w:t>kosztów</w:t>
      </w:r>
      <w:r w:rsidRPr="00220BC6">
        <w:rPr>
          <w:spacing w:val="-1"/>
        </w:rPr>
        <w:t xml:space="preserve"> </w:t>
      </w:r>
      <w:r w:rsidRPr="00220BC6">
        <w:t>wiz;</w:t>
      </w:r>
    </w:p>
    <w:p w:rsidR="00BD0656" w:rsidRPr="00220BC6" w:rsidRDefault="00A25D7B">
      <w:pPr>
        <w:pStyle w:val="Akapitzlist"/>
        <w:numPr>
          <w:ilvl w:val="0"/>
          <w:numId w:val="5"/>
        </w:numPr>
        <w:tabs>
          <w:tab w:val="left" w:pos="360"/>
        </w:tabs>
        <w:spacing w:before="8"/>
        <w:ind w:left="359" w:hanging="242"/>
      </w:pPr>
      <w:r w:rsidRPr="00220BC6">
        <w:t>kosztów transportu i ubezpieczenia</w:t>
      </w:r>
      <w:r w:rsidRPr="00220BC6">
        <w:rPr>
          <w:spacing w:val="-3"/>
        </w:rPr>
        <w:t xml:space="preserve"> </w:t>
      </w:r>
      <w:r w:rsidRPr="00220BC6">
        <w:t>prac;</w:t>
      </w:r>
    </w:p>
    <w:p w:rsidR="00BD0656" w:rsidRPr="00220BC6" w:rsidRDefault="00A25D7B">
      <w:pPr>
        <w:pStyle w:val="Akapitzlist"/>
        <w:numPr>
          <w:ilvl w:val="0"/>
          <w:numId w:val="6"/>
        </w:numPr>
        <w:tabs>
          <w:tab w:val="left" w:pos="354"/>
        </w:tabs>
        <w:ind w:left="353" w:hanging="222"/>
      </w:pPr>
      <w:r w:rsidRPr="00220BC6">
        <w:t>Dofinansowaniu nie podlegają: zakupy środków trwałych, wynajem sprzętu i</w:t>
      </w:r>
      <w:r w:rsidRPr="00220BC6">
        <w:rPr>
          <w:spacing w:val="-16"/>
        </w:rPr>
        <w:t xml:space="preserve"> </w:t>
      </w:r>
      <w:r w:rsidRPr="00220BC6">
        <w:t>pomieszczeń.</w:t>
      </w:r>
    </w:p>
    <w:p w:rsidR="000C5A10" w:rsidRPr="00220BC6" w:rsidRDefault="009026EE" w:rsidP="00A25D7B">
      <w:pPr>
        <w:pStyle w:val="Akapitzlist"/>
        <w:numPr>
          <w:ilvl w:val="0"/>
          <w:numId w:val="6"/>
        </w:numPr>
        <w:tabs>
          <w:tab w:val="left" w:pos="388"/>
        </w:tabs>
        <w:spacing w:before="0" w:line="247" w:lineRule="auto"/>
        <w:ind w:right="110" w:hanging="10"/>
      </w:pPr>
      <w:r w:rsidRPr="00220BC6">
        <w:t>W szczególnie uzasadnionych przypadkach d</w:t>
      </w:r>
      <w:r w:rsidR="000C5A10" w:rsidRPr="00220BC6">
        <w:t>ziekan Szkoły Doktorskiej m</w:t>
      </w:r>
      <w:r w:rsidR="00A25D7B" w:rsidRPr="00220BC6">
        <w:t xml:space="preserve">oże wyrazić zgodę na przyznanie </w:t>
      </w:r>
      <w:r w:rsidR="000C5A10" w:rsidRPr="00220BC6">
        <w:t>dofinansowania na zakup materiałów specjalistycznych niezbędnych do realizacji projektu doktorskiego.</w:t>
      </w:r>
    </w:p>
    <w:p w:rsidR="00BD0656" w:rsidRPr="00220BC6" w:rsidRDefault="00A25D7B">
      <w:pPr>
        <w:pStyle w:val="Akapitzlist"/>
        <w:numPr>
          <w:ilvl w:val="0"/>
          <w:numId w:val="6"/>
        </w:numPr>
        <w:tabs>
          <w:tab w:val="left" w:pos="354"/>
        </w:tabs>
        <w:ind w:left="353" w:hanging="222"/>
      </w:pPr>
      <w:r w:rsidRPr="00220BC6">
        <w:t>Maksymalna sumaryczna kwota dofinansowania dla jednego doktoranta</w:t>
      </w:r>
      <w:r w:rsidRPr="00220BC6">
        <w:rPr>
          <w:spacing w:val="-1"/>
        </w:rPr>
        <w:t xml:space="preserve"> </w:t>
      </w:r>
      <w:r w:rsidRPr="00220BC6">
        <w:t>wynosi:</w:t>
      </w:r>
    </w:p>
    <w:p w:rsidR="00BD0656" w:rsidRPr="00220BC6" w:rsidRDefault="000C5A10">
      <w:pPr>
        <w:pStyle w:val="Akapitzlist"/>
        <w:numPr>
          <w:ilvl w:val="0"/>
          <w:numId w:val="4"/>
        </w:numPr>
        <w:tabs>
          <w:tab w:val="left" w:pos="347"/>
        </w:tabs>
        <w:spacing w:before="8"/>
      </w:pPr>
      <w:r w:rsidRPr="00220BC6">
        <w:t>3 000 PLN – dla doktorantów przyjętych w ramach naboru na rok akademicki 2021/2022</w:t>
      </w:r>
    </w:p>
    <w:p w:rsidR="00BD0656" w:rsidRPr="00220BC6" w:rsidRDefault="00A25D7B">
      <w:pPr>
        <w:pStyle w:val="Akapitzlist"/>
        <w:numPr>
          <w:ilvl w:val="0"/>
          <w:numId w:val="4"/>
        </w:numPr>
        <w:tabs>
          <w:tab w:val="left" w:pos="360"/>
        </w:tabs>
        <w:ind w:left="359" w:hanging="242"/>
      </w:pPr>
      <w:r w:rsidRPr="00220BC6">
        <w:t xml:space="preserve">2 000 PLN – dla doktorantów </w:t>
      </w:r>
      <w:r w:rsidR="000C5A10" w:rsidRPr="00220BC6">
        <w:t>przyjętych w ramach naboru na rok akademicki 2020/2021</w:t>
      </w:r>
    </w:p>
    <w:p w:rsidR="000C5A10" w:rsidRPr="00220BC6" w:rsidRDefault="000C5A10">
      <w:pPr>
        <w:pStyle w:val="Akapitzlist"/>
        <w:numPr>
          <w:ilvl w:val="0"/>
          <w:numId w:val="4"/>
        </w:numPr>
        <w:tabs>
          <w:tab w:val="left" w:pos="360"/>
        </w:tabs>
        <w:ind w:left="359" w:hanging="242"/>
      </w:pPr>
      <w:r w:rsidRPr="00220BC6">
        <w:t>1 000 PLN – dla doktorantów przyjętych w ramach naboru na rok akademicki 2019/2020</w:t>
      </w:r>
    </w:p>
    <w:p w:rsidR="00BD0656" w:rsidRPr="00220BC6" w:rsidRDefault="00BD0656">
      <w:pPr>
        <w:pStyle w:val="Tekstpodstawowy"/>
        <w:spacing w:before="6"/>
        <w:rPr>
          <w:sz w:val="24"/>
        </w:rPr>
      </w:pPr>
    </w:p>
    <w:p w:rsidR="00BD0656" w:rsidRPr="00220BC6" w:rsidRDefault="00A25D7B">
      <w:pPr>
        <w:pStyle w:val="Tekstpodstawowy"/>
        <w:ind w:left="2274" w:right="2265"/>
        <w:jc w:val="center"/>
      </w:pPr>
      <w:r w:rsidRPr="00220BC6">
        <w:t>§ 3 Terminy i tryb naboru wniosków</w:t>
      </w:r>
    </w:p>
    <w:p w:rsidR="00BD0656" w:rsidRPr="00220BC6" w:rsidRDefault="00BD0656">
      <w:pPr>
        <w:pStyle w:val="Tekstpodstawowy"/>
        <w:spacing w:before="4"/>
        <w:rPr>
          <w:sz w:val="25"/>
        </w:rPr>
      </w:pPr>
    </w:p>
    <w:p w:rsidR="00BD0656" w:rsidRPr="00220BC6" w:rsidRDefault="00A25D7B">
      <w:pPr>
        <w:pStyle w:val="Akapitzlist"/>
        <w:numPr>
          <w:ilvl w:val="0"/>
          <w:numId w:val="3"/>
        </w:numPr>
        <w:tabs>
          <w:tab w:val="left" w:pos="397"/>
        </w:tabs>
        <w:spacing w:before="0" w:line="247" w:lineRule="auto"/>
        <w:ind w:right="114" w:firstLine="0"/>
        <w:jc w:val="both"/>
      </w:pPr>
      <w:r w:rsidRPr="00220BC6">
        <w:t>Program r</w:t>
      </w:r>
      <w:r w:rsidR="000C5A10" w:rsidRPr="00220BC6">
        <w:t>ealizowany jest na bieżąco do 15 października 2022</w:t>
      </w:r>
      <w:r w:rsidRPr="00220BC6">
        <w:t xml:space="preserve"> lub do momentu wyczerpania środków przeznaczonych w danym roku na realizację</w:t>
      </w:r>
      <w:r w:rsidRPr="00220BC6">
        <w:rPr>
          <w:spacing w:val="-7"/>
        </w:rPr>
        <w:t xml:space="preserve"> </w:t>
      </w:r>
      <w:r w:rsidRPr="00220BC6">
        <w:t>Programu.</w:t>
      </w:r>
    </w:p>
    <w:p w:rsidR="00BD0656" w:rsidRPr="00220BC6" w:rsidRDefault="00A25D7B">
      <w:pPr>
        <w:pStyle w:val="Akapitzlist"/>
        <w:numPr>
          <w:ilvl w:val="0"/>
          <w:numId w:val="3"/>
        </w:numPr>
        <w:tabs>
          <w:tab w:val="left" w:pos="395"/>
        </w:tabs>
        <w:spacing w:before="2" w:line="247" w:lineRule="auto"/>
        <w:ind w:right="112" w:firstLine="0"/>
        <w:jc w:val="both"/>
      </w:pPr>
      <w:r w:rsidRPr="00220BC6">
        <w:t>Wniosek należy złożyć w dziekanacie Szkoły Doktorskiej, nie później niż 14 dni przed wydarzeniem, którego dotyczy dofinansowa</w:t>
      </w:r>
      <w:r w:rsidR="009026EE" w:rsidRPr="00220BC6">
        <w:t>nie. W uzasadnionych wypadkach d</w:t>
      </w:r>
      <w:r w:rsidRPr="00220BC6">
        <w:t xml:space="preserve">ziekan </w:t>
      </w:r>
      <w:r w:rsidR="000C5A10" w:rsidRPr="00220BC6">
        <w:t xml:space="preserve">Szkoły Doktorskiej </w:t>
      </w:r>
      <w:r w:rsidRPr="00220BC6">
        <w:t>może rozpatrzyć wniosek złożony w terminie późniejszym niż wyżej wymieniony. Wzór wniosku stanowi Załącznik nr</w:t>
      </w:r>
      <w:r w:rsidRPr="00220BC6">
        <w:rPr>
          <w:spacing w:val="-9"/>
        </w:rPr>
        <w:t xml:space="preserve"> </w:t>
      </w:r>
      <w:r w:rsidRPr="00220BC6">
        <w:t>1.</w:t>
      </w:r>
    </w:p>
    <w:p w:rsidR="00BD0656" w:rsidRPr="00220BC6" w:rsidRDefault="00BD0656">
      <w:pPr>
        <w:pStyle w:val="Tekstpodstawowy"/>
        <w:rPr>
          <w:sz w:val="24"/>
        </w:rPr>
      </w:pPr>
    </w:p>
    <w:p w:rsidR="00BD0656" w:rsidRPr="00220BC6" w:rsidRDefault="00BD0656">
      <w:pPr>
        <w:pStyle w:val="Tekstpodstawowy"/>
        <w:spacing w:before="10"/>
        <w:rPr>
          <w:sz w:val="23"/>
        </w:rPr>
      </w:pPr>
    </w:p>
    <w:p w:rsidR="00BD0656" w:rsidRPr="00220BC6" w:rsidRDefault="00A25D7B">
      <w:pPr>
        <w:pStyle w:val="Tekstpodstawowy"/>
        <w:ind w:left="2274" w:right="2265"/>
        <w:jc w:val="center"/>
      </w:pPr>
      <w:r w:rsidRPr="00220BC6">
        <w:t>§ 4 Ocena wniosków</w:t>
      </w:r>
    </w:p>
    <w:p w:rsidR="00BD0656" w:rsidRPr="00220BC6" w:rsidRDefault="00BD0656">
      <w:pPr>
        <w:pStyle w:val="Tekstpodstawowy"/>
        <w:spacing w:before="2"/>
        <w:rPr>
          <w:sz w:val="25"/>
        </w:rPr>
      </w:pPr>
    </w:p>
    <w:p w:rsidR="00BD0656" w:rsidRPr="00220BC6" w:rsidRDefault="009026EE">
      <w:pPr>
        <w:pStyle w:val="Akapitzlist"/>
        <w:numPr>
          <w:ilvl w:val="0"/>
          <w:numId w:val="2"/>
        </w:numPr>
        <w:tabs>
          <w:tab w:val="left" w:pos="354"/>
        </w:tabs>
        <w:spacing w:before="0" w:line="247" w:lineRule="auto"/>
        <w:ind w:right="111"/>
        <w:jc w:val="both"/>
      </w:pPr>
      <w:r w:rsidRPr="00220BC6">
        <w:t>Wnioski oceniane są przez d</w:t>
      </w:r>
      <w:r w:rsidR="00A25D7B" w:rsidRPr="00220BC6">
        <w:t>ziekana Szkoły Doktorskiej Akademii Sztuk Pięknych im. E. Gepperta we Wrocławiu, który wydaje decyzję w sprawie przyznania</w:t>
      </w:r>
      <w:r w:rsidR="00A25D7B" w:rsidRPr="00220BC6">
        <w:rPr>
          <w:spacing w:val="-1"/>
        </w:rPr>
        <w:t xml:space="preserve"> </w:t>
      </w:r>
      <w:r w:rsidR="00A25D7B" w:rsidRPr="00220BC6">
        <w:t>dofinansowania.</w:t>
      </w:r>
    </w:p>
    <w:p w:rsidR="00BD0656" w:rsidRPr="00220BC6" w:rsidRDefault="00A25D7B">
      <w:pPr>
        <w:pStyle w:val="Akapitzlist"/>
        <w:numPr>
          <w:ilvl w:val="0"/>
          <w:numId w:val="2"/>
        </w:numPr>
        <w:tabs>
          <w:tab w:val="left" w:pos="354"/>
        </w:tabs>
        <w:spacing w:before="2" w:line="247" w:lineRule="auto"/>
        <w:ind w:right="113"/>
        <w:jc w:val="both"/>
      </w:pPr>
      <w:r w:rsidRPr="00220BC6">
        <w:t>Przyznana kwota dofinansowania może być niższa od wnioskowa</w:t>
      </w:r>
      <w:r w:rsidR="009026EE" w:rsidRPr="00220BC6">
        <w:t>nej. W uzasadnionych wypadkach d</w:t>
      </w:r>
      <w:r w:rsidRPr="00220BC6">
        <w:t>ziekan może rekomendować przyznanie wyższej kwoty (np. czynny udział w prestiżowej wystawie lub konferencji</w:t>
      </w:r>
      <w:r w:rsidRPr="00220BC6">
        <w:rPr>
          <w:spacing w:val="1"/>
        </w:rPr>
        <w:t xml:space="preserve"> </w:t>
      </w:r>
      <w:r w:rsidRPr="00220BC6">
        <w:t>zagranicznej).</w:t>
      </w:r>
    </w:p>
    <w:p w:rsidR="00BD0656" w:rsidRPr="00220BC6" w:rsidRDefault="009026EE">
      <w:pPr>
        <w:pStyle w:val="Akapitzlist"/>
        <w:numPr>
          <w:ilvl w:val="0"/>
          <w:numId w:val="2"/>
        </w:numPr>
        <w:tabs>
          <w:tab w:val="left" w:pos="354"/>
        </w:tabs>
        <w:spacing w:before="3"/>
        <w:ind w:hanging="222"/>
        <w:jc w:val="both"/>
      </w:pPr>
      <w:r w:rsidRPr="00220BC6">
        <w:t>Decyzja d</w:t>
      </w:r>
      <w:r w:rsidR="00A25D7B" w:rsidRPr="00220BC6">
        <w:t>ziekana jest decyzją ostateczną w sprawie, nie przewiduje się trybu</w:t>
      </w:r>
      <w:r w:rsidR="00A25D7B" w:rsidRPr="00220BC6">
        <w:rPr>
          <w:spacing w:val="-14"/>
        </w:rPr>
        <w:t xml:space="preserve"> </w:t>
      </w:r>
      <w:r w:rsidR="00A25D7B" w:rsidRPr="00220BC6">
        <w:t>odwoławczego.</w:t>
      </w:r>
    </w:p>
    <w:p w:rsidR="00BD0656" w:rsidRPr="00220BC6" w:rsidRDefault="00BD0656">
      <w:pPr>
        <w:pStyle w:val="Tekstpodstawowy"/>
        <w:rPr>
          <w:sz w:val="24"/>
        </w:rPr>
      </w:pPr>
    </w:p>
    <w:p w:rsidR="00BD0656" w:rsidRPr="00220BC6" w:rsidRDefault="00BD0656">
      <w:pPr>
        <w:pStyle w:val="Tekstpodstawowy"/>
        <w:spacing w:before="4"/>
        <w:rPr>
          <w:sz w:val="24"/>
        </w:rPr>
      </w:pPr>
    </w:p>
    <w:p w:rsidR="00BD0656" w:rsidRPr="00220BC6" w:rsidRDefault="00A25D7B">
      <w:pPr>
        <w:pStyle w:val="Tekstpodstawowy"/>
        <w:ind w:left="2274" w:right="2265"/>
        <w:jc w:val="center"/>
      </w:pPr>
      <w:r w:rsidRPr="00220BC6">
        <w:t>§ 5 Rozliczenie i sprawozdanie</w:t>
      </w:r>
    </w:p>
    <w:p w:rsidR="00BD0656" w:rsidRPr="00220BC6" w:rsidRDefault="00BD0656">
      <w:pPr>
        <w:pStyle w:val="Tekstpodstawowy"/>
        <w:spacing w:before="4"/>
        <w:rPr>
          <w:sz w:val="25"/>
        </w:rPr>
      </w:pPr>
    </w:p>
    <w:p w:rsidR="00BD0656" w:rsidRPr="00220BC6" w:rsidRDefault="00A25D7B">
      <w:pPr>
        <w:pStyle w:val="Akapitzlist"/>
        <w:numPr>
          <w:ilvl w:val="0"/>
          <w:numId w:val="1"/>
        </w:numPr>
        <w:tabs>
          <w:tab w:val="left" w:pos="426"/>
        </w:tabs>
        <w:spacing w:before="1" w:line="247" w:lineRule="auto"/>
        <w:ind w:right="113" w:firstLine="0"/>
        <w:jc w:val="both"/>
      </w:pPr>
      <w:r w:rsidRPr="00220BC6">
        <w:t xml:space="preserve">Przyznane środki finansowe winny </w:t>
      </w:r>
      <w:r w:rsidR="000C5A10" w:rsidRPr="00220BC6">
        <w:t>być wydatkowane w terminie do 15 października 2022</w:t>
      </w:r>
      <w:r w:rsidRPr="00220BC6">
        <w:t xml:space="preserve"> roku i rozliczone zgodnie z zasadami obowiązującymi w</w:t>
      </w:r>
      <w:r w:rsidRPr="00220BC6">
        <w:rPr>
          <w:spacing w:val="1"/>
        </w:rPr>
        <w:t xml:space="preserve"> </w:t>
      </w:r>
      <w:r w:rsidRPr="00220BC6">
        <w:t>jednostce.</w:t>
      </w:r>
    </w:p>
    <w:p w:rsidR="00BD0656" w:rsidRPr="00220BC6" w:rsidRDefault="00BD0656">
      <w:pPr>
        <w:spacing w:line="247" w:lineRule="auto"/>
        <w:jc w:val="both"/>
        <w:sectPr w:rsidR="00BD0656" w:rsidRPr="00220BC6">
          <w:type w:val="continuous"/>
          <w:pgSz w:w="11910" w:h="16840"/>
          <w:pgMar w:top="1340" w:right="1020" w:bottom="280" w:left="1000" w:header="720" w:footer="720" w:gutter="0"/>
          <w:cols w:space="720"/>
        </w:sectPr>
      </w:pPr>
      <w:bookmarkStart w:id="0" w:name="_GoBack"/>
      <w:bookmarkEnd w:id="0"/>
    </w:p>
    <w:p w:rsidR="00BD0656" w:rsidRPr="00220BC6" w:rsidRDefault="00A25D7B">
      <w:pPr>
        <w:pStyle w:val="Akapitzlist"/>
        <w:numPr>
          <w:ilvl w:val="0"/>
          <w:numId w:val="1"/>
        </w:numPr>
        <w:tabs>
          <w:tab w:val="left" w:pos="384"/>
        </w:tabs>
        <w:spacing w:before="73" w:line="247" w:lineRule="auto"/>
        <w:ind w:right="112" w:firstLine="0"/>
        <w:jc w:val="both"/>
      </w:pPr>
      <w:r w:rsidRPr="00220BC6">
        <w:lastRenderedPageBreak/>
        <w:t xml:space="preserve">Doktorant jest zobowiązany do rzetelnego, kompletnego i terminowego rozliczenia dofinansowania oraz złożenia sprawozdania </w:t>
      </w:r>
      <w:proofErr w:type="spellStart"/>
      <w:r w:rsidRPr="00220BC6">
        <w:t>me</w:t>
      </w:r>
      <w:r w:rsidR="00FF792E" w:rsidRPr="00220BC6">
        <w:t>rytoryczno</w:t>
      </w:r>
      <w:proofErr w:type="spellEnd"/>
      <w:r w:rsidRPr="00220BC6">
        <w:t xml:space="preserve"> - finansowego - w terminie do 14 dni od daty zakończenia realizacji zadania</w:t>
      </w:r>
      <w:r w:rsidR="009026EE" w:rsidRPr="00220BC6">
        <w:t>, którego dotyczył wniosek, do d</w:t>
      </w:r>
      <w:r w:rsidRPr="00220BC6">
        <w:t>ziekanatu Szkoły Doktorskiej Akademii Sztuk Pięknych im. E. Gepperta we Wrocławiu. Wzór sprawozdania stanowi Załącznik nr</w:t>
      </w:r>
      <w:r w:rsidRPr="00220BC6">
        <w:rPr>
          <w:spacing w:val="-1"/>
        </w:rPr>
        <w:t xml:space="preserve"> </w:t>
      </w:r>
      <w:r w:rsidRPr="00220BC6">
        <w:t>2.</w:t>
      </w:r>
    </w:p>
    <w:p w:rsidR="00BD0656" w:rsidRPr="00220BC6" w:rsidRDefault="00A25D7B">
      <w:pPr>
        <w:pStyle w:val="Akapitzlist"/>
        <w:numPr>
          <w:ilvl w:val="0"/>
          <w:numId w:val="1"/>
        </w:numPr>
        <w:tabs>
          <w:tab w:val="left" w:pos="346"/>
        </w:tabs>
        <w:spacing w:before="4" w:line="247" w:lineRule="auto"/>
        <w:ind w:left="128" w:right="113" w:hanging="10"/>
        <w:jc w:val="both"/>
      </w:pPr>
      <w:r w:rsidRPr="00220BC6">
        <w:t>Wnioski doktorantów, którzy nie dopełnili obowiązku rzetelnego, kompletnego i terminowego rozliczenia otrzymanego dofinansowania i/lub złożenia sprawozdania merytorycznego - finansowego nie będą rozpatrywane w kolejnym</w:t>
      </w:r>
      <w:r w:rsidRPr="00220BC6">
        <w:rPr>
          <w:spacing w:val="-6"/>
        </w:rPr>
        <w:t xml:space="preserve"> </w:t>
      </w:r>
      <w:r w:rsidRPr="00220BC6">
        <w:t>roku.</w:t>
      </w:r>
    </w:p>
    <w:sectPr w:rsidR="00BD0656" w:rsidRPr="00220BC6">
      <w:pgSz w:w="11910" w:h="16840"/>
      <w:pgMar w:top="13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DBF"/>
    <w:multiLevelType w:val="hybridMultilevel"/>
    <w:tmpl w:val="7A602198"/>
    <w:lvl w:ilvl="0" w:tplc="0C4C146A">
      <w:start w:val="1"/>
      <w:numFmt w:val="decimal"/>
      <w:lvlText w:val="%1."/>
      <w:lvlJc w:val="left"/>
      <w:pPr>
        <w:ind w:left="348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8A60904">
      <w:numFmt w:val="bullet"/>
      <w:lvlText w:val="•"/>
      <w:lvlJc w:val="left"/>
      <w:pPr>
        <w:ind w:left="1294" w:hanging="216"/>
      </w:pPr>
      <w:rPr>
        <w:rFonts w:hint="default"/>
        <w:lang w:val="pl-PL" w:eastAsia="en-US" w:bidi="ar-SA"/>
      </w:rPr>
    </w:lvl>
    <w:lvl w:ilvl="2" w:tplc="32E6FC3A">
      <w:numFmt w:val="bullet"/>
      <w:lvlText w:val="•"/>
      <w:lvlJc w:val="left"/>
      <w:pPr>
        <w:ind w:left="2249" w:hanging="216"/>
      </w:pPr>
      <w:rPr>
        <w:rFonts w:hint="default"/>
        <w:lang w:val="pl-PL" w:eastAsia="en-US" w:bidi="ar-SA"/>
      </w:rPr>
    </w:lvl>
    <w:lvl w:ilvl="3" w:tplc="D4EE29F6">
      <w:numFmt w:val="bullet"/>
      <w:lvlText w:val="•"/>
      <w:lvlJc w:val="left"/>
      <w:pPr>
        <w:ind w:left="3203" w:hanging="216"/>
      </w:pPr>
      <w:rPr>
        <w:rFonts w:hint="default"/>
        <w:lang w:val="pl-PL" w:eastAsia="en-US" w:bidi="ar-SA"/>
      </w:rPr>
    </w:lvl>
    <w:lvl w:ilvl="4" w:tplc="2C10DFB2">
      <w:numFmt w:val="bullet"/>
      <w:lvlText w:val="•"/>
      <w:lvlJc w:val="left"/>
      <w:pPr>
        <w:ind w:left="4158" w:hanging="216"/>
      </w:pPr>
      <w:rPr>
        <w:rFonts w:hint="default"/>
        <w:lang w:val="pl-PL" w:eastAsia="en-US" w:bidi="ar-SA"/>
      </w:rPr>
    </w:lvl>
    <w:lvl w:ilvl="5" w:tplc="6458E5D4">
      <w:numFmt w:val="bullet"/>
      <w:lvlText w:val="•"/>
      <w:lvlJc w:val="left"/>
      <w:pPr>
        <w:ind w:left="5113" w:hanging="216"/>
      </w:pPr>
      <w:rPr>
        <w:rFonts w:hint="default"/>
        <w:lang w:val="pl-PL" w:eastAsia="en-US" w:bidi="ar-SA"/>
      </w:rPr>
    </w:lvl>
    <w:lvl w:ilvl="6" w:tplc="734217C2">
      <w:numFmt w:val="bullet"/>
      <w:lvlText w:val="•"/>
      <w:lvlJc w:val="left"/>
      <w:pPr>
        <w:ind w:left="6067" w:hanging="216"/>
      </w:pPr>
      <w:rPr>
        <w:rFonts w:hint="default"/>
        <w:lang w:val="pl-PL" w:eastAsia="en-US" w:bidi="ar-SA"/>
      </w:rPr>
    </w:lvl>
    <w:lvl w:ilvl="7" w:tplc="AADE7308">
      <w:numFmt w:val="bullet"/>
      <w:lvlText w:val="•"/>
      <w:lvlJc w:val="left"/>
      <w:pPr>
        <w:ind w:left="7022" w:hanging="216"/>
      </w:pPr>
      <w:rPr>
        <w:rFonts w:hint="default"/>
        <w:lang w:val="pl-PL" w:eastAsia="en-US" w:bidi="ar-SA"/>
      </w:rPr>
    </w:lvl>
    <w:lvl w:ilvl="8" w:tplc="893C2A02">
      <w:numFmt w:val="bullet"/>
      <w:lvlText w:val="•"/>
      <w:lvlJc w:val="left"/>
      <w:pPr>
        <w:ind w:left="7977" w:hanging="216"/>
      </w:pPr>
      <w:rPr>
        <w:rFonts w:hint="default"/>
        <w:lang w:val="pl-PL" w:eastAsia="en-US" w:bidi="ar-SA"/>
      </w:rPr>
    </w:lvl>
  </w:abstractNum>
  <w:abstractNum w:abstractNumId="1" w15:restartNumberingAfterBreak="0">
    <w:nsid w:val="04A01E6F"/>
    <w:multiLevelType w:val="hybridMultilevel"/>
    <w:tmpl w:val="841EF702"/>
    <w:lvl w:ilvl="0" w:tplc="B6C67926">
      <w:start w:val="1"/>
      <w:numFmt w:val="lowerLetter"/>
      <w:lvlText w:val="%1)"/>
      <w:lvlJc w:val="left"/>
      <w:pPr>
        <w:ind w:left="346" w:hanging="229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2"/>
        <w:szCs w:val="22"/>
        <w:lang w:val="pl-PL" w:eastAsia="en-US" w:bidi="ar-SA"/>
      </w:rPr>
    </w:lvl>
    <w:lvl w:ilvl="1" w:tplc="E7E024C0">
      <w:numFmt w:val="bullet"/>
      <w:lvlText w:val="•"/>
      <w:lvlJc w:val="left"/>
      <w:pPr>
        <w:ind w:left="1294" w:hanging="229"/>
      </w:pPr>
      <w:rPr>
        <w:rFonts w:hint="default"/>
        <w:lang w:val="pl-PL" w:eastAsia="en-US" w:bidi="ar-SA"/>
      </w:rPr>
    </w:lvl>
    <w:lvl w:ilvl="2" w:tplc="25767236">
      <w:numFmt w:val="bullet"/>
      <w:lvlText w:val="•"/>
      <w:lvlJc w:val="left"/>
      <w:pPr>
        <w:ind w:left="2249" w:hanging="229"/>
      </w:pPr>
      <w:rPr>
        <w:rFonts w:hint="default"/>
        <w:lang w:val="pl-PL" w:eastAsia="en-US" w:bidi="ar-SA"/>
      </w:rPr>
    </w:lvl>
    <w:lvl w:ilvl="3" w:tplc="21287620">
      <w:numFmt w:val="bullet"/>
      <w:lvlText w:val="•"/>
      <w:lvlJc w:val="left"/>
      <w:pPr>
        <w:ind w:left="3203" w:hanging="229"/>
      </w:pPr>
      <w:rPr>
        <w:rFonts w:hint="default"/>
        <w:lang w:val="pl-PL" w:eastAsia="en-US" w:bidi="ar-SA"/>
      </w:rPr>
    </w:lvl>
    <w:lvl w:ilvl="4" w:tplc="42A29A64">
      <w:numFmt w:val="bullet"/>
      <w:lvlText w:val="•"/>
      <w:lvlJc w:val="left"/>
      <w:pPr>
        <w:ind w:left="4158" w:hanging="229"/>
      </w:pPr>
      <w:rPr>
        <w:rFonts w:hint="default"/>
        <w:lang w:val="pl-PL" w:eastAsia="en-US" w:bidi="ar-SA"/>
      </w:rPr>
    </w:lvl>
    <w:lvl w:ilvl="5" w:tplc="5B4606C2">
      <w:numFmt w:val="bullet"/>
      <w:lvlText w:val="•"/>
      <w:lvlJc w:val="left"/>
      <w:pPr>
        <w:ind w:left="5113" w:hanging="229"/>
      </w:pPr>
      <w:rPr>
        <w:rFonts w:hint="default"/>
        <w:lang w:val="pl-PL" w:eastAsia="en-US" w:bidi="ar-SA"/>
      </w:rPr>
    </w:lvl>
    <w:lvl w:ilvl="6" w:tplc="90BAC80E">
      <w:numFmt w:val="bullet"/>
      <w:lvlText w:val="•"/>
      <w:lvlJc w:val="left"/>
      <w:pPr>
        <w:ind w:left="6067" w:hanging="229"/>
      </w:pPr>
      <w:rPr>
        <w:rFonts w:hint="default"/>
        <w:lang w:val="pl-PL" w:eastAsia="en-US" w:bidi="ar-SA"/>
      </w:rPr>
    </w:lvl>
    <w:lvl w:ilvl="7" w:tplc="4364B4BC">
      <w:numFmt w:val="bullet"/>
      <w:lvlText w:val="•"/>
      <w:lvlJc w:val="left"/>
      <w:pPr>
        <w:ind w:left="7022" w:hanging="229"/>
      </w:pPr>
      <w:rPr>
        <w:rFonts w:hint="default"/>
        <w:lang w:val="pl-PL" w:eastAsia="en-US" w:bidi="ar-SA"/>
      </w:rPr>
    </w:lvl>
    <w:lvl w:ilvl="8" w:tplc="3BCC6972">
      <w:numFmt w:val="bullet"/>
      <w:lvlText w:val="•"/>
      <w:lvlJc w:val="left"/>
      <w:pPr>
        <w:ind w:left="7977" w:hanging="229"/>
      </w:pPr>
      <w:rPr>
        <w:rFonts w:hint="default"/>
        <w:lang w:val="pl-PL" w:eastAsia="en-US" w:bidi="ar-SA"/>
      </w:rPr>
    </w:lvl>
  </w:abstractNum>
  <w:abstractNum w:abstractNumId="2" w15:restartNumberingAfterBreak="0">
    <w:nsid w:val="1A9F6FDB"/>
    <w:multiLevelType w:val="hybridMultilevel"/>
    <w:tmpl w:val="EA58D316"/>
    <w:lvl w:ilvl="0" w:tplc="7486A6F8">
      <w:start w:val="1"/>
      <w:numFmt w:val="lowerLetter"/>
      <w:lvlText w:val="%1)"/>
      <w:lvlJc w:val="left"/>
      <w:pPr>
        <w:ind w:left="372" w:hanging="24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F07A18F0">
      <w:numFmt w:val="bullet"/>
      <w:lvlText w:val="•"/>
      <w:lvlJc w:val="left"/>
      <w:pPr>
        <w:ind w:left="1330" w:hanging="240"/>
      </w:pPr>
      <w:rPr>
        <w:rFonts w:hint="default"/>
        <w:lang w:val="pl-PL" w:eastAsia="en-US" w:bidi="ar-SA"/>
      </w:rPr>
    </w:lvl>
    <w:lvl w:ilvl="2" w:tplc="150A8BF0">
      <w:numFmt w:val="bullet"/>
      <w:lvlText w:val="•"/>
      <w:lvlJc w:val="left"/>
      <w:pPr>
        <w:ind w:left="2281" w:hanging="240"/>
      </w:pPr>
      <w:rPr>
        <w:rFonts w:hint="default"/>
        <w:lang w:val="pl-PL" w:eastAsia="en-US" w:bidi="ar-SA"/>
      </w:rPr>
    </w:lvl>
    <w:lvl w:ilvl="3" w:tplc="DCD0C9CC">
      <w:numFmt w:val="bullet"/>
      <w:lvlText w:val="•"/>
      <w:lvlJc w:val="left"/>
      <w:pPr>
        <w:ind w:left="3231" w:hanging="240"/>
      </w:pPr>
      <w:rPr>
        <w:rFonts w:hint="default"/>
        <w:lang w:val="pl-PL" w:eastAsia="en-US" w:bidi="ar-SA"/>
      </w:rPr>
    </w:lvl>
    <w:lvl w:ilvl="4" w:tplc="134A5FDA">
      <w:numFmt w:val="bullet"/>
      <w:lvlText w:val="•"/>
      <w:lvlJc w:val="left"/>
      <w:pPr>
        <w:ind w:left="4182" w:hanging="240"/>
      </w:pPr>
      <w:rPr>
        <w:rFonts w:hint="default"/>
        <w:lang w:val="pl-PL" w:eastAsia="en-US" w:bidi="ar-SA"/>
      </w:rPr>
    </w:lvl>
    <w:lvl w:ilvl="5" w:tplc="86AAAAA6">
      <w:numFmt w:val="bullet"/>
      <w:lvlText w:val="•"/>
      <w:lvlJc w:val="left"/>
      <w:pPr>
        <w:ind w:left="5133" w:hanging="240"/>
      </w:pPr>
      <w:rPr>
        <w:rFonts w:hint="default"/>
        <w:lang w:val="pl-PL" w:eastAsia="en-US" w:bidi="ar-SA"/>
      </w:rPr>
    </w:lvl>
    <w:lvl w:ilvl="6" w:tplc="23BE8B56">
      <w:numFmt w:val="bullet"/>
      <w:lvlText w:val="•"/>
      <w:lvlJc w:val="left"/>
      <w:pPr>
        <w:ind w:left="6083" w:hanging="240"/>
      </w:pPr>
      <w:rPr>
        <w:rFonts w:hint="default"/>
        <w:lang w:val="pl-PL" w:eastAsia="en-US" w:bidi="ar-SA"/>
      </w:rPr>
    </w:lvl>
    <w:lvl w:ilvl="7" w:tplc="0BA4DA34">
      <w:numFmt w:val="bullet"/>
      <w:lvlText w:val="•"/>
      <w:lvlJc w:val="left"/>
      <w:pPr>
        <w:ind w:left="7034" w:hanging="240"/>
      </w:pPr>
      <w:rPr>
        <w:rFonts w:hint="default"/>
        <w:lang w:val="pl-PL" w:eastAsia="en-US" w:bidi="ar-SA"/>
      </w:rPr>
    </w:lvl>
    <w:lvl w:ilvl="8" w:tplc="9154C31E">
      <w:numFmt w:val="bullet"/>
      <w:lvlText w:val="•"/>
      <w:lvlJc w:val="left"/>
      <w:pPr>
        <w:ind w:left="7985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2B010A22"/>
    <w:multiLevelType w:val="hybridMultilevel"/>
    <w:tmpl w:val="E7B23FEC"/>
    <w:lvl w:ilvl="0" w:tplc="A7BA0556">
      <w:start w:val="1"/>
      <w:numFmt w:val="decimal"/>
      <w:lvlText w:val="%1."/>
      <w:lvlJc w:val="left"/>
      <w:pPr>
        <w:ind w:left="142" w:hanging="2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08EA162">
      <w:numFmt w:val="bullet"/>
      <w:lvlText w:val="•"/>
      <w:lvlJc w:val="left"/>
      <w:pPr>
        <w:ind w:left="1114" w:hanging="283"/>
      </w:pPr>
      <w:rPr>
        <w:rFonts w:hint="default"/>
        <w:lang w:val="pl-PL" w:eastAsia="en-US" w:bidi="ar-SA"/>
      </w:rPr>
    </w:lvl>
    <w:lvl w:ilvl="2" w:tplc="B3A451E4">
      <w:numFmt w:val="bullet"/>
      <w:lvlText w:val="•"/>
      <w:lvlJc w:val="left"/>
      <w:pPr>
        <w:ind w:left="2089" w:hanging="283"/>
      </w:pPr>
      <w:rPr>
        <w:rFonts w:hint="default"/>
        <w:lang w:val="pl-PL" w:eastAsia="en-US" w:bidi="ar-SA"/>
      </w:rPr>
    </w:lvl>
    <w:lvl w:ilvl="3" w:tplc="0BC86FB8">
      <w:numFmt w:val="bullet"/>
      <w:lvlText w:val="•"/>
      <w:lvlJc w:val="left"/>
      <w:pPr>
        <w:ind w:left="3063" w:hanging="283"/>
      </w:pPr>
      <w:rPr>
        <w:rFonts w:hint="default"/>
        <w:lang w:val="pl-PL" w:eastAsia="en-US" w:bidi="ar-SA"/>
      </w:rPr>
    </w:lvl>
    <w:lvl w:ilvl="4" w:tplc="893088BE">
      <w:numFmt w:val="bullet"/>
      <w:lvlText w:val="•"/>
      <w:lvlJc w:val="left"/>
      <w:pPr>
        <w:ind w:left="4038" w:hanging="283"/>
      </w:pPr>
      <w:rPr>
        <w:rFonts w:hint="default"/>
        <w:lang w:val="pl-PL" w:eastAsia="en-US" w:bidi="ar-SA"/>
      </w:rPr>
    </w:lvl>
    <w:lvl w:ilvl="5" w:tplc="4C8860BE">
      <w:numFmt w:val="bullet"/>
      <w:lvlText w:val="•"/>
      <w:lvlJc w:val="left"/>
      <w:pPr>
        <w:ind w:left="5013" w:hanging="283"/>
      </w:pPr>
      <w:rPr>
        <w:rFonts w:hint="default"/>
        <w:lang w:val="pl-PL" w:eastAsia="en-US" w:bidi="ar-SA"/>
      </w:rPr>
    </w:lvl>
    <w:lvl w:ilvl="6" w:tplc="EA820D06">
      <w:numFmt w:val="bullet"/>
      <w:lvlText w:val="•"/>
      <w:lvlJc w:val="left"/>
      <w:pPr>
        <w:ind w:left="5987" w:hanging="283"/>
      </w:pPr>
      <w:rPr>
        <w:rFonts w:hint="default"/>
        <w:lang w:val="pl-PL" w:eastAsia="en-US" w:bidi="ar-SA"/>
      </w:rPr>
    </w:lvl>
    <w:lvl w:ilvl="7" w:tplc="18A0272E">
      <w:numFmt w:val="bullet"/>
      <w:lvlText w:val="•"/>
      <w:lvlJc w:val="left"/>
      <w:pPr>
        <w:ind w:left="6962" w:hanging="283"/>
      </w:pPr>
      <w:rPr>
        <w:rFonts w:hint="default"/>
        <w:lang w:val="pl-PL" w:eastAsia="en-US" w:bidi="ar-SA"/>
      </w:rPr>
    </w:lvl>
    <w:lvl w:ilvl="8" w:tplc="9B8012BA">
      <w:numFmt w:val="bullet"/>
      <w:lvlText w:val="•"/>
      <w:lvlJc w:val="left"/>
      <w:pPr>
        <w:ind w:left="7937" w:hanging="283"/>
      </w:pPr>
      <w:rPr>
        <w:rFonts w:hint="default"/>
        <w:lang w:val="pl-PL" w:eastAsia="en-US" w:bidi="ar-SA"/>
      </w:rPr>
    </w:lvl>
  </w:abstractNum>
  <w:abstractNum w:abstractNumId="4" w15:restartNumberingAfterBreak="0">
    <w:nsid w:val="5CBD1133"/>
    <w:multiLevelType w:val="hybridMultilevel"/>
    <w:tmpl w:val="163A266C"/>
    <w:lvl w:ilvl="0" w:tplc="5CBAE4EC">
      <w:start w:val="1"/>
      <w:numFmt w:val="lowerLetter"/>
      <w:lvlText w:val="%1)"/>
      <w:lvlJc w:val="left"/>
      <w:pPr>
        <w:ind w:left="346" w:hanging="22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CC1845F4">
      <w:numFmt w:val="bullet"/>
      <w:lvlText w:val="•"/>
      <w:lvlJc w:val="left"/>
      <w:pPr>
        <w:ind w:left="1294" w:hanging="229"/>
      </w:pPr>
      <w:rPr>
        <w:rFonts w:hint="default"/>
        <w:lang w:val="pl-PL" w:eastAsia="en-US" w:bidi="ar-SA"/>
      </w:rPr>
    </w:lvl>
    <w:lvl w:ilvl="2" w:tplc="1A1C1E20">
      <w:numFmt w:val="bullet"/>
      <w:lvlText w:val="•"/>
      <w:lvlJc w:val="left"/>
      <w:pPr>
        <w:ind w:left="2249" w:hanging="229"/>
      </w:pPr>
      <w:rPr>
        <w:rFonts w:hint="default"/>
        <w:lang w:val="pl-PL" w:eastAsia="en-US" w:bidi="ar-SA"/>
      </w:rPr>
    </w:lvl>
    <w:lvl w:ilvl="3" w:tplc="2B54BDE8">
      <w:numFmt w:val="bullet"/>
      <w:lvlText w:val="•"/>
      <w:lvlJc w:val="left"/>
      <w:pPr>
        <w:ind w:left="3203" w:hanging="229"/>
      </w:pPr>
      <w:rPr>
        <w:rFonts w:hint="default"/>
        <w:lang w:val="pl-PL" w:eastAsia="en-US" w:bidi="ar-SA"/>
      </w:rPr>
    </w:lvl>
    <w:lvl w:ilvl="4" w:tplc="1E10CA5C">
      <w:numFmt w:val="bullet"/>
      <w:lvlText w:val="•"/>
      <w:lvlJc w:val="left"/>
      <w:pPr>
        <w:ind w:left="4158" w:hanging="229"/>
      </w:pPr>
      <w:rPr>
        <w:rFonts w:hint="default"/>
        <w:lang w:val="pl-PL" w:eastAsia="en-US" w:bidi="ar-SA"/>
      </w:rPr>
    </w:lvl>
    <w:lvl w:ilvl="5" w:tplc="C588720A">
      <w:numFmt w:val="bullet"/>
      <w:lvlText w:val="•"/>
      <w:lvlJc w:val="left"/>
      <w:pPr>
        <w:ind w:left="5113" w:hanging="229"/>
      </w:pPr>
      <w:rPr>
        <w:rFonts w:hint="default"/>
        <w:lang w:val="pl-PL" w:eastAsia="en-US" w:bidi="ar-SA"/>
      </w:rPr>
    </w:lvl>
    <w:lvl w:ilvl="6" w:tplc="624C5DB6">
      <w:numFmt w:val="bullet"/>
      <w:lvlText w:val="•"/>
      <w:lvlJc w:val="left"/>
      <w:pPr>
        <w:ind w:left="6067" w:hanging="229"/>
      </w:pPr>
      <w:rPr>
        <w:rFonts w:hint="default"/>
        <w:lang w:val="pl-PL" w:eastAsia="en-US" w:bidi="ar-SA"/>
      </w:rPr>
    </w:lvl>
    <w:lvl w:ilvl="7" w:tplc="A9EEC3DE">
      <w:numFmt w:val="bullet"/>
      <w:lvlText w:val="•"/>
      <w:lvlJc w:val="left"/>
      <w:pPr>
        <w:ind w:left="7022" w:hanging="229"/>
      </w:pPr>
      <w:rPr>
        <w:rFonts w:hint="default"/>
        <w:lang w:val="pl-PL" w:eastAsia="en-US" w:bidi="ar-SA"/>
      </w:rPr>
    </w:lvl>
    <w:lvl w:ilvl="8" w:tplc="92427070">
      <w:numFmt w:val="bullet"/>
      <w:lvlText w:val="•"/>
      <w:lvlJc w:val="left"/>
      <w:pPr>
        <w:ind w:left="7977" w:hanging="229"/>
      </w:pPr>
      <w:rPr>
        <w:rFonts w:hint="default"/>
        <w:lang w:val="pl-PL" w:eastAsia="en-US" w:bidi="ar-SA"/>
      </w:rPr>
    </w:lvl>
  </w:abstractNum>
  <w:abstractNum w:abstractNumId="5" w15:restartNumberingAfterBreak="0">
    <w:nsid w:val="6107224D"/>
    <w:multiLevelType w:val="hybridMultilevel"/>
    <w:tmpl w:val="5DE81C40"/>
    <w:lvl w:ilvl="0" w:tplc="21B8ECEA">
      <w:start w:val="1"/>
      <w:numFmt w:val="decimal"/>
      <w:lvlText w:val="%1."/>
      <w:lvlJc w:val="left"/>
      <w:pPr>
        <w:ind w:left="142" w:hanging="2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AD2B6B2">
      <w:numFmt w:val="bullet"/>
      <w:lvlText w:val="•"/>
      <w:lvlJc w:val="left"/>
      <w:pPr>
        <w:ind w:left="1114" w:hanging="254"/>
      </w:pPr>
      <w:rPr>
        <w:rFonts w:hint="default"/>
        <w:lang w:val="pl-PL" w:eastAsia="en-US" w:bidi="ar-SA"/>
      </w:rPr>
    </w:lvl>
    <w:lvl w:ilvl="2" w:tplc="6442ABCA">
      <w:numFmt w:val="bullet"/>
      <w:lvlText w:val="•"/>
      <w:lvlJc w:val="left"/>
      <w:pPr>
        <w:ind w:left="2089" w:hanging="254"/>
      </w:pPr>
      <w:rPr>
        <w:rFonts w:hint="default"/>
        <w:lang w:val="pl-PL" w:eastAsia="en-US" w:bidi="ar-SA"/>
      </w:rPr>
    </w:lvl>
    <w:lvl w:ilvl="3" w:tplc="D7CC2428">
      <w:numFmt w:val="bullet"/>
      <w:lvlText w:val="•"/>
      <w:lvlJc w:val="left"/>
      <w:pPr>
        <w:ind w:left="3063" w:hanging="254"/>
      </w:pPr>
      <w:rPr>
        <w:rFonts w:hint="default"/>
        <w:lang w:val="pl-PL" w:eastAsia="en-US" w:bidi="ar-SA"/>
      </w:rPr>
    </w:lvl>
    <w:lvl w:ilvl="4" w:tplc="6884FB82">
      <w:numFmt w:val="bullet"/>
      <w:lvlText w:val="•"/>
      <w:lvlJc w:val="left"/>
      <w:pPr>
        <w:ind w:left="4038" w:hanging="254"/>
      </w:pPr>
      <w:rPr>
        <w:rFonts w:hint="default"/>
        <w:lang w:val="pl-PL" w:eastAsia="en-US" w:bidi="ar-SA"/>
      </w:rPr>
    </w:lvl>
    <w:lvl w:ilvl="5" w:tplc="3684C566">
      <w:numFmt w:val="bullet"/>
      <w:lvlText w:val="•"/>
      <w:lvlJc w:val="left"/>
      <w:pPr>
        <w:ind w:left="5013" w:hanging="254"/>
      </w:pPr>
      <w:rPr>
        <w:rFonts w:hint="default"/>
        <w:lang w:val="pl-PL" w:eastAsia="en-US" w:bidi="ar-SA"/>
      </w:rPr>
    </w:lvl>
    <w:lvl w:ilvl="6" w:tplc="969C7DF2">
      <w:numFmt w:val="bullet"/>
      <w:lvlText w:val="•"/>
      <w:lvlJc w:val="left"/>
      <w:pPr>
        <w:ind w:left="5987" w:hanging="254"/>
      </w:pPr>
      <w:rPr>
        <w:rFonts w:hint="default"/>
        <w:lang w:val="pl-PL" w:eastAsia="en-US" w:bidi="ar-SA"/>
      </w:rPr>
    </w:lvl>
    <w:lvl w:ilvl="7" w:tplc="425642E0">
      <w:numFmt w:val="bullet"/>
      <w:lvlText w:val="•"/>
      <w:lvlJc w:val="left"/>
      <w:pPr>
        <w:ind w:left="6962" w:hanging="254"/>
      </w:pPr>
      <w:rPr>
        <w:rFonts w:hint="default"/>
        <w:lang w:val="pl-PL" w:eastAsia="en-US" w:bidi="ar-SA"/>
      </w:rPr>
    </w:lvl>
    <w:lvl w:ilvl="8" w:tplc="FED2698E">
      <w:numFmt w:val="bullet"/>
      <w:lvlText w:val="•"/>
      <w:lvlJc w:val="left"/>
      <w:pPr>
        <w:ind w:left="7937" w:hanging="254"/>
      </w:pPr>
      <w:rPr>
        <w:rFonts w:hint="default"/>
        <w:lang w:val="pl-PL" w:eastAsia="en-US" w:bidi="ar-SA"/>
      </w:rPr>
    </w:lvl>
  </w:abstractNum>
  <w:abstractNum w:abstractNumId="6" w15:restartNumberingAfterBreak="0">
    <w:nsid w:val="6341052E"/>
    <w:multiLevelType w:val="hybridMultilevel"/>
    <w:tmpl w:val="DD8A8D46"/>
    <w:lvl w:ilvl="0" w:tplc="1B0C0D6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6D2C718">
      <w:numFmt w:val="bullet"/>
      <w:lvlText w:val="•"/>
      <w:lvlJc w:val="left"/>
      <w:pPr>
        <w:ind w:left="1312" w:hanging="221"/>
      </w:pPr>
      <w:rPr>
        <w:rFonts w:hint="default"/>
        <w:lang w:val="pl-PL" w:eastAsia="en-US" w:bidi="ar-SA"/>
      </w:rPr>
    </w:lvl>
    <w:lvl w:ilvl="2" w:tplc="7FDCA172">
      <w:numFmt w:val="bullet"/>
      <w:lvlText w:val="•"/>
      <w:lvlJc w:val="left"/>
      <w:pPr>
        <w:ind w:left="2265" w:hanging="221"/>
      </w:pPr>
      <w:rPr>
        <w:rFonts w:hint="default"/>
        <w:lang w:val="pl-PL" w:eastAsia="en-US" w:bidi="ar-SA"/>
      </w:rPr>
    </w:lvl>
    <w:lvl w:ilvl="3" w:tplc="1B48F416">
      <w:numFmt w:val="bullet"/>
      <w:lvlText w:val="•"/>
      <w:lvlJc w:val="left"/>
      <w:pPr>
        <w:ind w:left="3217" w:hanging="221"/>
      </w:pPr>
      <w:rPr>
        <w:rFonts w:hint="default"/>
        <w:lang w:val="pl-PL" w:eastAsia="en-US" w:bidi="ar-SA"/>
      </w:rPr>
    </w:lvl>
    <w:lvl w:ilvl="4" w:tplc="B33ED216">
      <w:numFmt w:val="bullet"/>
      <w:lvlText w:val="•"/>
      <w:lvlJc w:val="left"/>
      <w:pPr>
        <w:ind w:left="4170" w:hanging="221"/>
      </w:pPr>
      <w:rPr>
        <w:rFonts w:hint="default"/>
        <w:lang w:val="pl-PL" w:eastAsia="en-US" w:bidi="ar-SA"/>
      </w:rPr>
    </w:lvl>
    <w:lvl w:ilvl="5" w:tplc="3604822A">
      <w:numFmt w:val="bullet"/>
      <w:lvlText w:val="•"/>
      <w:lvlJc w:val="left"/>
      <w:pPr>
        <w:ind w:left="5123" w:hanging="221"/>
      </w:pPr>
      <w:rPr>
        <w:rFonts w:hint="default"/>
        <w:lang w:val="pl-PL" w:eastAsia="en-US" w:bidi="ar-SA"/>
      </w:rPr>
    </w:lvl>
    <w:lvl w:ilvl="6" w:tplc="19B2231C">
      <w:numFmt w:val="bullet"/>
      <w:lvlText w:val="•"/>
      <w:lvlJc w:val="left"/>
      <w:pPr>
        <w:ind w:left="6075" w:hanging="221"/>
      </w:pPr>
      <w:rPr>
        <w:rFonts w:hint="default"/>
        <w:lang w:val="pl-PL" w:eastAsia="en-US" w:bidi="ar-SA"/>
      </w:rPr>
    </w:lvl>
    <w:lvl w:ilvl="7" w:tplc="75245E16">
      <w:numFmt w:val="bullet"/>
      <w:lvlText w:val="•"/>
      <w:lvlJc w:val="left"/>
      <w:pPr>
        <w:ind w:left="7028" w:hanging="221"/>
      </w:pPr>
      <w:rPr>
        <w:rFonts w:hint="default"/>
        <w:lang w:val="pl-PL" w:eastAsia="en-US" w:bidi="ar-SA"/>
      </w:rPr>
    </w:lvl>
    <w:lvl w:ilvl="8" w:tplc="0EF2BA68">
      <w:numFmt w:val="bullet"/>
      <w:lvlText w:val="•"/>
      <w:lvlJc w:val="left"/>
      <w:pPr>
        <w:ind w:left="7981" w:hanging="221"/>
      </w:pPr>
      <w:rPr>
        <w:rFonts w:hint="default"/>
        <w:lang w:val="pl-PL" w:eastAsia="en-US" w:bidi="ar-SA"/>
      </w:rPr>
    </w:lvl>
  </w:abstractNum>
  <w:abstractNum w:abstractNumId="7" w15:restartNumberingAfterBreak="0">
    <w:nsid w:val="7CDB3D9F"/>
    <w:multiLevelType w:val="hybridMultilevel"/>
    <w:tmpl w:val="5CB87D04"/>
    <w:lvl w:ilvl="0" w:tplc="627CB0EC">
      <w:start w:val="1"/>
      <w:numFmt w:val="decimal"/>
      <w:lvlText w:val="%1."/>
      <w:lvlJc w:val="left"/>
      <w:pPr>
        <w:ind w:left="128" w:hanging="2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3107FA0">
      <w:numFmt w:val="bullet"/>
      <w:lvlText w:val="•"/>
      <w:lvlJc w:val="left"/>
      <w:pPr>
        <w:ind w:left="1096" w:hanging="270"/>
      </w:pPr>
      <w:rPr>
        <w:rFonts w:hint="default"/>
        <w:lang w:val="pl-PL" w:eastAsia="en-US" w:bidi="ar-SA"/>
      </w:rPr>
    </w:lvl>
    <w:lvl w:ilvl="2" w:tplc="7A62683E">
      <w:numFmt w:val="bullet"/>
      <w:lvlText w:val="•"/>
      <w:lvlJc w:val="left"/>
      <w:pPr>
        <w:ind w:left="2073" w:hanging="270"/>
      </w:pPr>
      <w:rPr>
        <w:rFonts w:hint="default"/>
        <w:lang w:val="pl-PL" w:eastAsia="en-US" w:bidi="ar-SA"/>
      </w:rPr>
    </w:lvl>
    <w:lvl w:ilvl="3" w:tplc="887A41E8">
      <w:numFmt w:val="bullet"/>
      <w:lvlText w:val="•"/>
      <w:lvlJc w:val="left"/>
      <w:pPr>
        <w:ind w:left="3049" w:hanging="270"/>
      </w:pPr>
      <w:rPr>
        <w:rFonts w:hint="default"/>
        <w:lang w:val="pl-PL" w:eastAsia="en-US" w:bidi="ar-SA"/>
      </w:rPr>
    </w:lvl>
    <w:lvl w:ilvl="4" w:tplc="D08AD7B8">
      <w:numFmt w:val="bullet"/>
      <w:lvlText w:val="•"/>
      <w:lvlJc w:val="left"/>
      <w:pPr>
        <w:ind w:left="4026" w:hanging="270"/>
      </w:pPr>
      <w:rPr>
        <w:rFonts w:hint="default"/>
        <w:lang w:val="pl-PL" w:eastAsia="en-US" w:bidi="ar-SA"/>
      </w:rPr>
    </w:lvl>
    <w:lvl w:ilvl="5" w:tplc="567C6FB4">
      <w:numFmt w:val="bullet"/>
      <w:lvlText w:val="•"/>
      <w:lvlJc w:val="left"/>
      <w:pPr>
        <w:ind w:left="5003" w:hanging="270"/>
      </w:pPr>
      <w:rPr>
        <w:rFonts w:hint="default"/>
        <w:lang w:val="pl-PL" w:eastAsia="en-US" w:bidi="ar-SA"/>
      </w:rPr>
    </w:lvl>
    <w:lvl w:ilvl="6" w:tplc="BB2AB90A">
      <w:numFmt w:val="bullet"/>
      <w:lvlText w:val="•"/>
      <w:lvlJc w:val="left"/>
      <w:pPr>
        <w:ind w:left="5979" w:hanging="270"/>
      </w:pPr>
      <w:rPr>
        <w:rFonts w:hint="default"/>
        <w:lang w:val="pl-PL" w:eastAsia="en-US" w:bidi="ar-SA"/>
      </w:rPr>
    </w:lvl>
    <w:lvl w:ilvl="7" w:tplc="36221174">
      <w:numFmt w:val="bullet"/>
      <w:lvlText w:val="•"/>
      <w:lvlJc w:val="left"/>
      <w:pPr>
        <w:ind w:left="6956" w:hanging="270"/>
      </w:pPr>
      <w:rPr>
        <w:rFonts w:hint="default"/>
        <w:lang w:val="pl-PL" w:eastAsia="en-US" w:bidi="ar-SA"/>
      </w:rPr>
    </w:lvl>
    <w:lvl w:ilvl="8" w:tplc="DE26D9C0">
      <w:numFmt w:val="bullet"/>
      <w:lvlText w:val="•"/>
      <w:lvlJc w:val="left"/>
      <w:pPr>
        <w:ind w:left="7933" w:hanging="27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56"/>
    <w:rsid w:val="000C5A10"/>
    <w:rsid w:val="00220BC6"/>
    <w:rsid w:val="00531CD8"/>
    <w:rsid w:val="005B08D0"/>
    <w:rsid w:val="009026EE"/>
    <w:rsid w:val="00A25D7B"/>
    <w:rsid w:val="00BD0656"/>
    <w:rsid w:val="00E3236E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AA1F-C520-4621-9965-5A4754B8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9"/>
      <w:ind w:left="35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31C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CD8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6FB394B8AC743A46B5397E2628F97" ma:contentTypeVersion="9" ma:contentTypeDescription="Utwórz nowy dokument." ma:contentTypeScope="" ma:versionID="c6a6918401c6a37f44ae7a44ccc54aed">
  <xsd:schema xmlns:xsd="http://www.w3.org/2001/XMLSchema" xmlns:xs="http://www.w3.org/2001/XMLSchema" xmlns:p="http://schemas.microsoft.com/office/2006/metadata/properties" xmlns:ns2="996b7aa4-9c20-463e-8f99-c8535001fcfb" targetNamespace="http://schemas.microsoft.com/office/2006/metadata/properties" ma:root="true" ma:fieldsID="0816f7b8bf36ea767973c6dca320eb87" ns2:_="">
    <xsd:import namespace="996b7aa4-9c20-463e-8f99-c8535001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7aa4-9c20-463e-8f99-c8535001f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E59E5-B6D8-47FC-8DF7-F460E575290B}"/>
</file>

<file path=customXml/itemProps2.xml><?xml version="1.0" encoding="utf-8"?>
<ds:datastoreItem xmlns:ds="http://schemas.openxmlformats.org/officeDocument/2006/customXml" ds:itemID="{163D9F9E-D12F-4F16-83EE-15921E0E3CA2}"/>
</file>

<file path=customXml/itemProps3.xml><?xml version="1.0" encoding="utf-8"?>
<ds:datastoreItem xmlns:ds="http://schemas.openxmlformats.org/officeDocument/2006/customXml" ds:itemID="{77815693-53AE-4363-A843-3F5453298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2021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2021</dc:title>
  <dc:creator>m.wlodarczyk</dc:creator>
  <cp:lastModifiedBy>Marta Włodarczyk</cp:lastModifiedBy>
  <cp:revision>6</cp:revision>
  <cp:lastPrinted>2022-02-10T12:00:00Z</cp:lastPrinted>
  <dcterms:created xsi:type="dcterms:W3CDTF">2022-02-09T10:06:00Z</dcterms:created>
  <dcterms:modified xsi:type="dcterms:W3CDTF">2022-02-18T08:26:00Z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2022-02-09T00:00:00Z</vt:filetime>
  </property>
  <property fmtid="{D5CDD505-2E9C-101B-9397-08002B2CF9AE}" pid="4" name="ContentTypeId">
    <vt:lpwstr>0x01010068B6FB394B8AC743A46B5397E2628F97</vt:lpwstr>
  </property>
</Properties>
</file>